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3F554BEF">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7C701691">
      <w:pPr>
        <w:pageBreakBefore w:val="0"/>
        <w:widowControl w:val="0"/>
        <w:tabs>
          <w:tab w:val="center" w:pos="6979"/>
        </w:tabs>
        <w:kinsoku/>
        <w:wordWrap/>
        <w:overflowPunct/>
        <w:topLinePunct w:val="0"/>
        <w:autoSpaceDE/>
        <w:autoSpaceDN/>
        <w:bidi w:val="0"/>
        <w:adjustRightInd/>
        <w:spacing w:line="500" w:lineRule="exact"/>
        <w:ind w:firstLine="700" w:firstLineChars="250"/>
        <w:textAlignment w:val="auto"/>
        <w:rPr>
          <w:rFonts w:hint="eastAsia" w:ascii="仿宋_GB2312" w:eastAsia="仿宋_GB2312"/>
          <w:sz w:val="28"/>
          <w:szCs w:val="28"/>
          <w:lang w:val="en-US"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一）本单位职责</w:t>
      </w:r>
    </w:p>
    <w:p w14:paraId="42E27C4B">
      <w:pPr>
        <w:pageBreakBefore w:val="0"/>
        <w:widowControl w:val="0"/>
        <w:tabs>
          <w:tab w:val="center" w:pos="6979"/>
        </w:tabs>
        <w:kinsoku/>
        <w:wordWrap/>
        <w:overflowPunct/>
        <w:topLinePunct w:val="0"/>
        <w:autoSpaceDE/>
        <w:autoSpaceDN/>
        <w:bidi w:val="0"/>
        <w:adjustRightInd/>
        <w:spacing w:line="500" w:lineRule="exact"/>
        <w:ind w:firstLine="700" w:firstLineChars="250"/>
        <w:textAlignment w:val="auto"/>
        <w:rPr>
          <w:rFonts w:hint="eastAsia" w:ascii="仿宋_GB2312" w:hAnsi="仿宋" w:eastAsia="仿宋_GB2312"/>
          <w:sz w:val="32"/>
          <w:szCs w:val="32"/>
        </w:rPr>
      </w:pPr>
      <w:r>
        <w:rPr>
          <w:rFonts w:hint="eastAsia" w:ascii="仿宋_GB2312" w:eastAsia="仿宋_GB2312"/>
          <w:sz w:val="28"/>
          <w:szCs w:val="28"/>
          <w:lang w:val="en-US" w:eastAsia="zh-CN"/>
        </w:rPr>
        <w:t>1.</w:t>
      </w:r>
      <w:r>
        <w:rPr>
          <w:rFonts w:hint="eastAsia" w:ascii="仿宋_GB2312" w:hAnsi="仿宋" w:eastAsia="仿宋_GB2312"/>
          <w:sz w:val="32"/>
          <w:szCs w:val="32"/>
        </w:rPr>
        <w:t>为本区中度或部分重度残疾学生提供学习机会，进行康复训练或适度职业培训，指导普校设置的特教班工作，对全区中小学随班就读工作进行宏观调控及业务辅导，发挥中心辐射示范作用。</w:t>
      </w:r>
    </w:p>
    <w:p w14:paraId="54B10953">
      <w:pPr>
        <w:pageBreakBefore w:val="0"/>
        <w:widowControl w:val="0"/>
        <w:tabs>
          <w:tab w:val="center" w:pos="6979"/>
        </w:tabs>
        <w:kinsoku/>
        <w:wordWrap/>
        <w:overflowPunct/>
        <w:topLinePunct w:val="0"/>
        <w:autoSpaceDE/>
        <w:autoSpaceDN/>
        <w:bidi w:val="0"/>
        <w:adjustRightInd/>
        <w:spacing w:line="500" w:lineRule="exact"/>
        <w:ind w:firstLine="800" w:firstLineChars="250"/>
        <w:textAlignment w:val="auto"/>
        <w:rPr>
          <w:rFonts w:hint="eastAsia" w:ascii="仿宋_GB2312" w:eastAsia="仿宋_GB2312"/>
          <w:sz w:val="28"/>
          <w:szCs w:val="28"/>
          <w:lang w:val="en-US" w:eastAsia="zh-CN"/>
        </w:rPr>
      </w:pP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二）</w:t>
      </w: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lang w:val="en-US" w:eastAsia="zh-CN"/>
        </w:rPr>
        <w:t>情况</w:t>
      </w:r>
    </w:p>
    <w:p w14:paraId="0EB73226">
      <w:pPr>
        <w:pageBreakBefore w:val="0"/>
        <w:widowControl w:val="0"/>
        <w:tabs>
          <w:tab w:val="center" w:pos="6979"/>
        </w:tabs>
        <w:kinsoku/>
        <w:wordWrap/>
        <w:overflowPunct/>
        <w:topLinePunct w:val="0"/>
        <w:autoSpaceDE/>
        <w:autoSpaceDN/>
        <w:bidi w:val="0"/>
        <w:adjustRightInd/>
        <w:spacing w:line="500" w:lineRule="exact"/>
        <w:ind w:firstLine="800" w:firstLineChars="250"/>
        <w:textAlignment w:val="auto"/>
        <w:rPr>
          <w:rFonts w:hint="eastAsia" w:ascii="仿宋_GB2312" w:hAnsi="仿宋" w:eastAsia="仿宋_GB2312"/>
          <w:sz w:val="32"/>
          <w:szCs w:val="32"/>
        </w:rPr>
      </w:pPr>
      <w:r>
        <w:rPr>
          <w:rFonts w:hint="eastAsia" w:ascii="仿宋_GB2312" w:hAnsi="仿宋" w:eastAsia="仿宋_GB2312"/>
          <w:sz w:val="32"/>
          <w:szCs w:val="32"/>
        </w:rPr>
        <w:t>本单位隶属于北京市大兴区教育委员会，执行《政府会计准则制度》，属于一般公共预算财政拨款单位，独立编制机构1个，独立核算机构1个。</w:t>
      </w:r>
    </w:p>
    <w:p w14:paraId="0DBCDD67">
      <w:pPr>
        <w:pStyle w:val="2"/>
        <w:pageBreakBefore w:val="0"/>
        <w:widowControl w:val="0"/>
        <w:kinsoku/>
        <w:wordWrap/>
        <w:overflowPunct/>
        <w:topLinePunct w:val="0"/>
        <w:autoSpaceDE/>
        <w:autoSpaceDN/>
        <w:bidi w:val="0"/>
        <w:adjustRightInd/>
        <w:spacing w:line="500" w:lineRule="exact"/>
        <w:textAlignment w:val="auto"/>
        <w:rPr>
          <w:rFonts w:hint="default" w:eastAsia="仿宋_GB2312"/>
          <w:lang w:val="en-US" w:eastAsia="zh-CN"/>
        </w:rPr>
      </w:pPr>
      <w:r>
        <w:rPr>
          <w:rFonts w:hint="eastAsia" w:ascii="仿宋_GB2312" w:hAnsi="仿宋" w:eastAsia="仿宋_GB2312"/>
          <w:sz w:val="32"/>
          <w:szCs w:val="32"/>
          <w:lang w:val="en-US" w:eastAsia="zh-CN"/>
        </w:rPr>
        <w:t xml:space="preserve">    </w:t>
      </w:r>
      <w:r>
        <w:rPr>
          <w:rFonts w:hint="eastAsia" w:ascii="仿宋_GB2312" w:hAnsi="仿宋" w:eastAsia="仿宋_GB2312"/>
          <w:b w:val="0"/>
          <w:bCs w:val="0"/>
          <w:sz w:val="32"/>
          <w:szCs w:val="32"/>
          <w:lang w:val="en-US" w:eastAsia="zh-CN"/>
        </w:rPr>
        <w:t xml:space="preserve"> 内设机构：工会、教务处、总务处、少先队室、德育处、安保办、校医室。</w:t>
      </w:r>
      <w:r>
        <w:rPr>
          <w:rFonts w:hint="eastAsia" w:ascii="仿宋_GB2312" w:hAnsi="仿宋" w:eastAsia="仿宋_GB2312"/>
          <w:sz w:val="32"/>
          <w:szCs w:val="32"/>
          <w:lang w:val="en-US" w:eastAsia="zh-CN"/>
        </w:rPr>
        <w:t xml:space="preserve">  </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2011.25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157.24</w:t>
      </w:r>
      <w:r>
        <w:rPr>
          <w:rFonts w:hint="eastAsia" w:ascii="仿宋_GB2312" w:eastAsia="仿宋_GB2312"/>
          <w:sz w:val="28"/>
          <w:szCs w:val="28"/>
        </w:rPr>
        <w:t>万元，增长</w:t>
      </w:r>
      <w:r>
        <w:rPr>
          <w:rFonts w:hint="eastAsia" w:ascii="仿宋_GB2312" w:eastAsia="仿宋_GB2312"/>
          <w:sz w:val="28"/>
          <w:szCs w:val="28"/>
          <w:lang w:val="en-US" w:eastAsia="zh-CN"/>
        </w:rPr>
        <w:t>8.48</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1897.36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104.94</w:t>
      </w:r>
      <w:r>
        <w:rPr>
          <w:rFonts w:hint="eastAsia" w:ascii="仿宋_GB2312" w:eastAsia="仿宋_GB2312"/>
          <w:sz w:val="28"/>
          <w:szCs w:val="28"/>
        </w:rPr>
        <w:t>万元，增长</w:t>
      </w:r>
      <w:r>
        <w:rPr>
          <w:rFonts w:hint="eastAsia" w:ascii="仿宋_GB2312" w:eastAsia="仿宋_GB2312"/>
          <w:sz w:val="28"/>
          <w:szCs w:val="28"/>
          <w:lang w:val="en-US" w:eastAsia="zh-CN"/>
        </w:rPr>
        <w:t>5.85</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1897.36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1897.36</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2011.25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157.24</w:t>
      </w:r>
      <w:r>
        <w:rPr>
          <w:rFonts w:hint="eastAsia" w:ascii="仿宋_GB2312" w:eastAsia="仿宋_GB2312"/>
          <w:sz w:val="28"/>
          <w:szCs w:val="28"/>
        </w:rPr>
        <w:t>万元，增长</w:t>
      </w:r>
      <w:r>
        <w:rPr>
          <w:rFonts w:hint="eastAsia" w:ascii="仿宋_GB2312" w:eastAsia="仿宋_GB2312"/>
          <w:sz w:val="28"/>
          <w:szCs w:val="28"/>
          <w:lang w:val="en-US" w:eastAsia="zh-CN"/>
        </w:rPr>
        <w:t>8.48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1801.91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89.59</w:t>
      </w:r>
      <w:r>
        <w:rPr>
          <w:rFonts w:hint="eastAsia" w:ascii="仿宋_GB2312" w:eastAsia="仿宋_GB2312"/>
          <w:sz w:val="28"/>
          <w:szCs w:val="28"/>
          <w:highlight w:val="none"/>
        </w:rPr>
        <w:t>%；项目支出</w:t>
      </w:r>
      <w:r>
        <w:rPr>
          <w:rFonts w:ascii="仿宋_GB2312" w:eastAsia="仿宋_GB2312"/>
          <w:sz w:val="28"/>
          <w:szCs w:val="28"/>
          <w:highlight w:val="none"/>
        </w:rPr>
        <w:t>209.34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10.41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2011.25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157.24</w:t>
      </w:r>
      <w:r>
        <w:rPr>
          <w:rFonts w:hint="eastAsia" w:ascii="仿宋_GB2312" w:eastAsia="仿宋_GB2312"/>
          <w:sz w:val="28"/>
          <w:szCs w:val="28"/>
        </w:rPr>
        <w:t>万元，增长</w:t>
      </w:r>
      <w:r>
        <w:rPr>
          <w:rFonts w:hint="eastAsia" w:ascii="仿宋_GB2312" w:eastAsia="仿宋_GB2312"/>
          <w:sz w:val="28"/>
          <w:szCs w:val="28"/>
          <w:lang w:val="en-US" w:eastAsia="zh-CN"/>
        </w:rPr>
        <w:t>8.48</w:t>
      </w:r>
      <w:r>
        <w:rPr>
          <w:rFonts w:hint="eastAsia" w:ascii="仿宋_GB2312" w:eastAsia="仿宋_GB2312"/>
          <w:sz w:val="28"/>
          <w:szCs w:val="28"/>
        </w:rPr>
        <w:t>%。主要原因：</w:t>
      </w:r>
      <w:r>
        <w:rPr>
          <w:rFonts w:hint="eastAsia" w:ascii="仿宋_GB2312" w:hAnsi="仿宋" w:eastAsia="仿宋_GB2312"/>
          <w:sz w:val="28"/>
          <w:szCs w:val="28"/>
          <w:highlight w:val="none"/>
          <w:u w:val="none"/>
          <w:lang w:val="en-US" w:eastAsia="zh-CN"/>
        </w:rPr>
        <w:t>住房保障支出增加113.88万元，教育支出增加9.94万元，社会保障和就业支出增加23.02万元，卫生健康支出增加10.39万元。增加原因是发放住房补贴第三批补发及新增</w:t>
      </w:r>
      <w:r>
        <w:rPr>
          <w:rFonts w:hint="eastAsia" w:ascii="仿宋_GB2312" w:hAnsi="仿宋" w:eastAsia="仿宋_GB2312"/>
          <w:strike w:val="0"/>
          <w:dstrike w:val="0"/>
          <w:sz w:val="28"/>
          <w:szCs w:val="28"/>
          <w:highlight w:val="none"/>
          <w:u w:val="none"/>
          <w:lang w:val="en-US" w:eastAsia="zh-CN"/>
        </w:rPr>
        <w:t>在职教师2人，增加退休人员1人，2024年初预算学生数比2023年初预算学生数增加16人增加基本支出和项目支出增加。</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2011.25</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教育支出1572.06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78.17</w:t>
      </w:r>
      <w:r>
        <w:rPr>
          <w:rFonts w:hint="eastAsia" w:ascii="仿宋_GB2312" w:eastAsia="仿宋_GB2312"/>
          <w:sz w:val="28"/>
          <w:szCs w:val="28"/>
        </w:rPr>
        <w:t xml:space="preserve">%； </w:t>
      </w:r>
      <w:r>
        <w:rPr>
          <w:rFonts w:hint="eastAsia" w:ascii="仿宋_GB2312" w:eastAsia="仿宋_GB2312"/>
          <w:sz w:val="28"/>
          <w:szCs w:val="28"/>
          <w:lang w:val="en-US" w:eastAsia="zh-CN"/>
        </w:rPr>
        <w:t>社会保障和就业支出197.68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9.83</w:t>
      </w:r>
      <w:r>
        <w:rPr>
          <w:rFonts w:hint="eastAsia" w:ascii="仿宋_GB2312" w:eastAsia="仿宋_GB2312"/>
          <w:sz w:val="28"/>
          <w:szCs w:val="28"/>
        </w:rPr>
        <w:t>%；</w:t>
      </w:r>
      <w:r>
        <w:rPr>
          <w:rFonts w:hint="eastAsia" w:ascii="仿宋_GB2312" w:eastAsia="仿宋_GB2312"/>
          <w:sz w:val="28"/>
          <w:szCs w:val="28"/>
          <w:lang w:val="en-US" w:eastAsia="zh-CN"/>
        </w:rPr>
        <w:t>卫生健康支出127.63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6.34</w:t>
      </w:r>
      <w:r>
        <w:rPr>
          <w:rFonts w:hint="eastAsia" w:ascii="仿宋_GB2312" w:eastAsia="仿宋_GB2312"/>
          <w:sz w:val="28"/>
          <w:szCs w:val="28"/>
        </w:rPr>
        <w:t>%；</w:t>
      </w:r>
      <w:r>
        <w:rPr>
          <w:rFonts w:hint="eastAsia" w:ascii="仿宋_GB2312" w:eastAsia="仿宋_GB2312"/>
          <w:sz w:val="28"/>
          <w:szCs w:val="28"/>
          <w:lang w:val="en-US" w:eastAsia="zh-CN"/>
        </w:rPr>
        <w:t>住房保障支出113.88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5.66</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hAnsi="仿宋" w:eastAsia="仿宋_GB2312"/>
          <w:sz w:val="32"/>
          <w:szCs w:val="32"/>
          <w:highlight w:val="none"/>
          <w:lang w:val="en-US"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1636.22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1572.06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96.08</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E60DB2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普通教育</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28.73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30.74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w:t>
      </w:r>
      <w:r>
        <w:rPr>
          <w:rFonts w:hint="eastAsia" w:ascii="仿宋_GB2312" w:eastAsia="仿宋_GB2312"/>
          <w:sz w:val="28"/>
          <w:szCs w:val="28"/>
        </w:rPr>
        <w:t>%。主要原因：</w:t>
      </w:r>
      <w:r>
        <w:rPr>
          <w:rFonts w:hint="eastAsia" w:ascii="仿宋_GB2312" w:eastAsia="仿宋_GB2312"/>
          <w:sz w:val="28"/>
          <w:szCs w:val="28"/>
          <w:lang w:val="en-US" w:eastAsia="zh-CN"/>
        </w:rPr>
        <w:t>小学残疾学生增加非寄宿生生活补助和小学助学补助增加</w:t>
      </w:r>
      <w:r>
        <w:rPr>
          <w:rFonts w:hint="eastAsia" w:ascii="仿宋_GB2312" w:eastAsia="仿宋_GB2312"/>
          <w:sz w:val="28"/>
          <w:szCs w:val="28"/>
        </w:rPr>
        <w:t>。</w:t>
      </w:r>
    </w:p>
    <w:p w14:paraId="4D041A4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特殊教育</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1607.49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1541.32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95.88</w:t>
      </w:r>
      <w:r>
        <w:rPr>
          <w:rFonts w:hint="eastAsia" w:ascii="仿宋_GB2312" w:eastAsia="仿宋_GB2312"/>
          <w:sz w:val="28"/>
          <w:szCs w:val="28"/>
        </w:rPr>
        <w:t>%。主要原因：</w:t>
      </w:r>
      <w:r>
        <w:rPr>
          <w:rFonts w:hint="eastAsia" w:ascii="仿宋_GB2312" w:eastAsia="仿宋_GB2312"/>
          <w:sz w:val="28"/>
          <w:szCs w:val="28"/>
          <w:lang w:val="en-US" w:eastAsia="zh-CN"/>
        </w:rPr>
        <w:t>1.学生伙食费服务项目年初预算按照所有在校生进行预算，实际支付时按照学生在校用餐实际支付，年末剩余上缴回财政；2.2024年融合教育质量提升行动计划项目没有按期完成，未完成部分上缴回财政；3.2024年9月退休1人基本支出减少</w:t>
      </w:r>
      <w:r>
        <w:rPr>
          <w:rFonts w:hint="eastAsia" w:ascii="仿宋_GB2312" w:eastAsia="仿宋_GB2312"/>
          <w:sz w:val="28"/>
          <w:szCs w:val="28"/>
        </w:rPr>
        <w:t>。</w:t>
      </w:r>
    </w:p>
    <w:p w14:paraId="17185B7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w:t>
      </w:r>
      <w:r>
        <w:rPr>
          <w:rFonts w:hint="eastAsia" w:ascii="仿宋_GB2312" w:hAnsi="仿宋" w:eastAsia="仿宋_GB2312"/>
          <w:sz w:val="32"/>
          <w:szCs w:val="32"/>
          <w:highlight w:val="none"/>
          <w:lang w:val="en-US"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196.83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197.68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100.43</w:t>
      </w:r>
      <w:r>
        <w:rPr>
          <w:rFonts w:hint="eastAsia" w:ascii="仿宋_GB2312" w:eastAsia="仿宋_GB2312"/>
          <w:sz w:val="28"/>
          <w:szCs w:val="28"/>
        </w:rPr>
        <w:t>%。</w:t>
      </w:r>
    </w:p>
    <w:p w14:paraId="2CD6223A">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7A0EDE4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196.83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197.68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100.43</w:t>
      </w:r>
      <w:r>
        <w:rPr>
          <w:rFonts w:hint="eastAsia" w:ascii="仿宋_GB2312" w:eastAsia="仿宋_GB2312"/>
          <w:sz w:val="28"/>
          <w:szCs w:val="28"/>
        </w:rPr>
        <w:t>%。主要原因：</w:t>
      </w:r>
      <w:r>
        <w:rPr>
          <w:rFonts w:hint="eastAsia" w:ascii="仿宋_GB2312" w:eastAsia="仿宋_GB2312"/>
          <w:sz w:val="28"/>
          <w:szCs w:val="28"/>
          <w:lang w:val="en-US" w:eastAsia="zh-CN"/>
        </w:rPr>
        <w:t>2024年9月增加退休人员1人增离退休费</w:t>
      </w:r>
      <w:r>
        <w:rPr>
          <w:rFonts w:hint="eastAsia" w:ascii="仿宋_GB2312" w:eastAsia="仿宋_GB2312"/>
          <w:sz w:val="28"/>
          <w:szCs w:val="28"/>
        </w:rPr>
        <w:t>。</w:t>
      </w:r>
    </w:p>
    <w:p w14:paraId="773FE25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hAnsi="仿宋" w:eastAsia="仿宋_GB2312"/>
          <w:sz w:val="32"/>
          <w:szCs w:val="32"/>
          <w:highlight w:val="none"/>
          <w:lang w:val="en-US"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132.26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127.63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96.50</w:t>
      </w:r>
      <w:r>
        <w:rPr>
          <w:rFonts w:hint="eastAsia" w:ascii="仿宋_GB2312" w:eastAsia="仿宋_GB2312"/>
          <w:sz w:val="28"/>
          <w:szCs w:val="28"/>
        </w:rPr>
        <w:t>%。</w:t>
      </w:r>
    </w:p>
    <w:p w14:paraId="5FA2795B">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270D087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132.26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127.63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96.50</w:t>
      </w:r>
      <w:r>
        <w:rPr>
          <w:rFonts w:hint="eastAsia" w:ascii="仿宋_GB2312" w:eastAsia="仿宋_GB2312"/>
          <w:sz w:val="28"/>
          <w:szCs w:val="28"/>
        </w:rPr>
        <w:t>%。主要原因：</w:t>
      </w:r>
      <w:r>
        <w:rPr>
          <w:rFonts w:hint="eastAsia" w:ascii="仿宋_GB2312" w:eastAsia="仿宋_GB2312"/>
          <w:sz w:val="28"/>
          <w:szCs w:val="28"/>
          <w:lang w:val="en-US" w:eastAsia="zh-CN"/>
        </w:rPr>
        <w:t>2024年9月退休1人减少行政事业单位医疗支出</w:t>
      </w:r>
      <w:r>
        <w:rPr>
          <w:rFonts w:hint="eastAsia" w:ascii="仿宋_GB2312" w:eastAsia="仿宋_GB2312"/>
          <w:sz w:val="28"/>
          <w:szCs w:val="28"/>
        </w:rPr>
        <w:t>。</w:t>
      </w:r>
    </w:p>
    <w:p w14:paraId="0631C31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hAnsi="仿宋" w:eastAsia="仿宋_GB2312"/>
          <w:sz w:val="32"/>
          <w:szCs w:val="32"/>
          <w:highlight w:val="none"/>
          <w:lang w:val="en-US" w:eastAsia="zh-CN"/>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113.88</w:t>
      </w:r>
      <w:r>
        <w:rPr>
          <w:rFonts w:hint="eastAsia" w:ascii="仿宋_GB2312" w:eastAsia="仿宋_GB2312"/>
          <w:sz w:val="28"/>
          <w:szCs w:val="28"/>
        </w:rPr>
        <w:t>万元。</w:t>
      </w:r>
    </w:p>
    <w:p w14:paraId="44F3E262">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C96A98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113.88</w:t>
      </w:r>
      <w:r>
        <w:rPr>
          <w:rFonts w:hint="eastAsia" w:ascii="仿宋_GB2312" w:eastAsia="仿宋_GB2312"/>
          <w:sz w:val="28"/>
          <w:szCs w:val="28"/>
        </w:rPr>
        <w:t>万元。主要原因：</w:t>
      </w:r>
      <w:r>
        <w:rPr>
          <w:rFonts w:hint="eastAsia" w:ascii="仿宋_GB2312" w:eastAsia="仿宋_GB2312"/>
          <w:sz w:val="28"/>
          <w:szCs w:val="28"/>
          <w:lang w:val="en-US" w:eastAsia="zh-CN"/>
        </w:rPr>
        <w:t>2024年发放住房补贴支出</w:t>
      </w:r>
      <w:r>
        <w:rPr>
          <w:rFonts w:hint="eastAsia" w:ascii="仿宋_GB2312" w:eastAsia="仿宋_GB2312"/>
          <w:sz w:val="28"/>
          <w:szCs w:val="28"/>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F320804">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无</w:t>
      </w:r>
      <w:r>
        <w:rPr>
          <w:rFonts w:hint="eastAsia" w:ascii="仿宋_GB2312" w:eastAsia="仿宋_GB2312"/>
          <w:sz w:val="28"/>
          <w:szCs w:val="28"/>
        </w:rPr>
        <w:t>政府性基金预算财政拨款支出</w:t>
      </w:r>
      <w:r>
        <w:rPr>
          <w:rFonts w:hint="eastAsia" w:ascii="仿宋_GB2312" w:eastAsia="仿宋_GB2312"/>
          <w:sz w:val="28"/>
          <w:szCs w:val="28"/>
          <w:lang w:eastAsia="zh-CN"/>
        </w:rPr>
        <w:t>。</w:t>
      </w:r>
    </w:p>
    <w:p w14:paraId="5AE8FA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66CD30B5">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无</w:t>
      </w:r>
      <w:r>
        <w:rPr>
          <w:rFonts w:hint="eastAsia" w:ascii="仿宋_GB2312" w:eastAsia="仿宋_GB2312"/>
          <w:sz w:val="28"/>
          <w:szCs w:val="28"/>
        </w:rPr>
        <w:t>政府性基金预算财政拨款支出</w:t>
      </w:r>
      <w:r>
        <w:rPr>
          <w:rFonts w:hint="eastAsia" w:ascii="仿宋_GB2312" w:eastAsia="仿宋_GB2312"/>
          <w:sz w:val="28"/>
          <w:szCs w:val="28"/>
          <w:lang w:eastAsia="zh-CN"/>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1801.91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0.27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4.3</w:t>
      </w:r>
      <w:r>
        <w:rPr>
          <w:rFonts w:hint="eastAsia" w:ascii="仿宋_GB2312" w:eastAsia="仿宋_GB2312"/>
          <w:sz w:val="28"/>
          <w:szCs w:val="28"/>
        </w:rPr>
        <w:t>万元减少</w:t>
      </w:r>
      <w:r>
        <w:rPr>
          <w:rFonts w:hint="eastAsia" w:ascii="仿宋_GB2312" w:eastAsia="仿宋_GB2312"/>
          <w:sz w:val="28"/>
          <w:szCs w:val="28"/>
          <w:lang w:val="en-US" w:eastAsia="zh-CN"/>
        </w:rPr>
        <w:t>4.03</w:t>
      </w:r>
      <w:r>
        <w:rPr>
          <w:rFonts w:hint="eastAsia" w:ascii="仿宋_GB2312" w:eastAsia="仿宋_GB2312"/>
          <w:sz w:val="28"/>
          <w:szCs w:val="28"/>
        </w:rPr>
        <w:t>万元。其中：</w:t>
      </w:r>
    </w:p>
    <w:p w14:paraId="13A254F2">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万元增减</w:t>
      </w:r>
      <w:r>
        <w:rPr>
          <w:rFonts w:hint="eastAsia" w:ascii="仿宋_GB2312" w:eastAsia="仿宋_GB2312"/>
          <w:sz w:val="28"/>
          <w:szCs w:val="28"/>
          <w:lang w:val="en-US" w:eastAsia="zh-CN"/>
        </w:rPr>
        <w:t>无变化，保持一致</w:t>
      </w:r>
      <w:r>
        <w:rPr>
          <w:rFonts w:hint="eastAsia" w:ascii="仿宋_GB2312" w:eastAsia="仿宋_GB2312"/>
          <w:sz w:val="28"/>
          <w:szCs w:val="28"/>
        </w:rPr>
        <w:t>。主要原因：</w:t>
      </w:r>
      <w:r>
        <w:rPr>
          <w:rFonts w:hint="eastAsia" w:ascii="仿宋_GB2312" w:eastAsia="仿宋_GB2312"/>
          <w:sz w:val="28"/>
          <w:szCs w:val="28"/>
          <w:lang w:val="en-US" w:eastAsia="zh-CN"/>
        </w:rPr>
        <w:t>是因公出国（境）费用根据年度出国审批情况作为追加项目管理，单位不做年初预算，</w:t>
      </w:r>
      <w:r>
        <w:rPr>
          <w:rFonts w:hint="eastAsia" w:ascii="仿宋_GB2312" w:hAnsi="Times New Roman" w:eastAsia="仿宋_GB2312" w:cs="Times New Roman"/>
          <w:color w:val="000000"/>
          <w:kern w:val="2"/>
          <w:sz w:val="28"/>
          <w:szCs w:val="28"/>
          <w:lang w:val="en-US" w:eastAsia="zh-CN" w:bidi="ar"/>
        </w:rPr>
        <w:t>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468725FD">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1.6万</w:t>
      </w:r>
      <w:r>
        <w:rPr>
          <w:rFonts w:hint="eastAsia" w:ascii="仿宋_GB2312" w:eastAsia="仿宋_GB2312"/>
          <w:sz w:val="28"/>
          <w:szCs w:val="28"/>
        </w:rPr>
        <w:t>元减少</w:t>
      </w:r>
      <w:r>
        <w:rPr>
          <w:rFonts w:hint="eastAsia" w:ascii="仿宋_GB2312" w:eastAsia="仿宋_GB2312"/>
          <w:sz w:val="28"/>
          <w:szCs w:val="28"/>
          <w:lang w:val="en-US" w:eastAsia="zh-CN"/>
        </w:rPr>
        <w:t>1.6</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0.27</w:t>
      </w:r>
      <w:r>
        <w:rPr>
          <w:rFonts w:hint="eastAsia" w:ascii="仿宋_GB2312" w:eastAsia="仿宋_GB2312"/>
          <w:sz w:val="28"/>
          <w:szCs w:val="28"/>
        </w:rPr>
        <w:t>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w:t>
      </w:r>
      <w:r>
        <w:rPr>
          <w:rFonts w:hint="eastAsia" w:ascii="仿宋_GB2312" w:eastAsia="仿宋_GB2312"/>
          <w:sz w:val="28"/>
          <w:szCs w:val="28"/>
          <w:highlight w:val="none"/>
        </w:rPr>
        <w:t>元</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2.43</w:t>
      </w:r>
      <w:r>
        <w:rPr>
          <w:rFonts w:hint="eastAsia" w:ascii="仿宋_GB2312" w:eastAsia="仿宋_GB2312"/>
          <w:sz w:val="28"/>
          <w:szCs w:val="28"/>
          <w:highlight w:val="none"/>
        </w:rPr>
        <w:t>万元。</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cs="Times New Roman"/>
          <w:kern w:val="2"/>
          <w:sz w:val="28"/>
          <w:szCs w:val="28"/>
          <w:lang w:val="en-US" w:eastAsia="zh-CN" w:bidi="ar"/>
        </w:rPr>
        <w:t>0</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0.27</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1</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798FF93D">
      <w:pPr>
        <w:ind w:left="540"/>
        <w:rPr>
          <w:rFonts w:hint="eastAsia" w:ascii="仿宋_GB2312" w:eastAsia="仿宋_GB2312"/>
          <w:sz w:val="28"/>
          <w:szCs w:val="28"/>
          <w:lang w:val="en-US" w:eastAsia="zh-CN"/>
        </w:rPr>
      </w:pPr>
      <w:r>
        <w:rPr>
          <w:rFonts w:hint="eastAsia" w:ascii="仿宋_GB2312" w:eastAsia="仿宋_GB2312"/>
          <w:sz w:val="28"/>
          <w:szCs w:val="28"/>
          <w:lang w:val="en-US" w:eastAsia="zh-CN"/>
        </w:rPr>
        <w:t>本单位不在机关运行经费统计范围内。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38.11</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1.53</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36.57</w:t>
      </w:r>
      <w:r>
        <w:rPr>
          <w:rFonts w:hint="eastAsia" w:ascii="仿宋_GB2312" w:eastAsia="仿宋_GB2312"/>
          <w:sz w:val="28"/>
          <w:szCs w:val="28"/>
        </w:rPr>
        <w:t>万元。授予中小企业合同金额</w:t>
      </w:r>
      <w:r>
        <w:rPr>
          <w:rFonts w:ascii="仿宋_GB2312" w:eastAsia="仿宋_GB2312"/>
          <w:sz w:val="28"/>
          <w:szCs w:val="28"/>
        </w:rPr>
        <w:t>38.11</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38.11</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12月31日，北京市大兴区特殊教育中心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81F60FC">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eastAsia="仿宋_GB2312"/>
          <w:sz w:val="28"/>
          <w:szCs w:val="28"/>
        </w:rPr>
        <w:t>教育支出（类）普通教育（款）小学教育（项）：反映各部门举办的小学教育支出。政府各部门对社会组织等举办的小学的资助，如捐赠、补贴等，也在本科目中反映。</w:t>
      </w:r>
    </w:p>
    <w:p w14:paraId="4155EE6D">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．教育支出（类）普通教育（款）初中教育（项）：反映各部门举办的初中教育支出。政府各部门对社会组织等举办的初中的资助，如捐赠、补贴等，也在本科目中反映。</w:t>
      </w:r>
    </w:p>
    <w:p w14:paraId="1803AE73">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．教育支出（类）特殊教育（款）特殊学校教育（项）：反映各部门举办盲童学校、聋哑学校、智力落后儿童学校、其他生理缺陷儿童学校的支出。</w:t>
      </w:r>
    </w:p>
    <w:p w14:paraId="67AF7118">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0</w:t>
      </w:r>
      <w:r>
        <w:rPr>
          <w:rFonts w:hint="eastAsia" w:ascii="仿宋_GB2312" w:eastAsia="仿宋_GB2312"/>
          <w:sz w:val="28"/>
          <w:szCs w:val="28"/>
        </w:rPr>
        <w:t>．社会保障和就业支出（类）行政事业单位养老支出（款）事业单位离退休（项）：反映事业单位开支的离退休经费。</w:t>
      </w:r>
    </w:p>
    <w:p w14:paraId="311FE021">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．社会保障和就业支出（类）行政事业单位养老支出（款）机关事业单位基本养老保险缴费支出（项）：反映机关事业单位实施养老保险制度由单位缴纳的基本养老保险缴费支出。</w:t>
      </w:r>
    </w:p>
    <w:p w14:paraId="0C642A0A">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783B425E">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3F7C8788">
      <w:pPr>
        <w:ind w:firstLine="420" w:firstLineChars="150"/>
        <w:rPr>
          <w:rFonts w:hint="eastAsia" w:ascii="黑体" w:eastAsia="黑体"/>
          <w:sz w:val="32"/>
          <w:szCs w:val="32"/>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．卫生健康支出（类）行政事业单位医疗（款）公务员医疗补助（项）：反映财政部门安排的公务员医疗补助经费。</w:t>
      </w:r>
      <w:r>
        <w:rPr>
          <w:rFonts w:hint="eastAsia" w:ascii="仿宋_GB2312" w:eastAsia="仿宋_GB2312"/>
          <w:sz w:val="28"/>
          <w:szCs w:val="28"/>
          <w:lang w:val="en-US" w:eastAsia="zh-CN"/>
        </w:rPr>
        <w:t xml:space="preserve">  15.住房保障支出（类）住房改革支出（款）购房补贴（项）：反应按房改政策规定，行政事业单位向符合条件职工（含离退休人员）、军队（含武警）向转役复原离退休人员发放的用于购买住房的补贴。</w:t>
      </w: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numId w:val="0"/>
        </w:numPr>
        <w:ind w:firstLine="3080" w:firstLineChars="1100"/>
        <w:rPr>
          <w:rFonts w:ascii="黑体" w:eastAsia="黑体"/>
          <w:sz w:val="28"/>
          <w:szCs w:val="28"/>
          <w:highlight w:val="none"/>
        </w:rPr>
      </w:pPr>
      <w:bookmarkStart w:id="0" w:name="_GoBack"/>
      <w:bookmarkEnd w:id="0"/>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499B81F">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yYzZhOTNhZDhhZTY0YjgwMzZjMGIyMjg3N2FiYj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1D66A8"/>
    <w:rsid w:val="0BA148CA"/>
    <w:rsid w:val="0C1165C4"/>
    <w:rsid w:val="0D6D544B"/>
    <w:rsid w:val="0DD136FE"/>
    <w:rsid w:val="0F542F2C"/>
    <w:rsid w:val="0F8E2C57"/>
    <w:rsid w:val="1059665E"/>
    <w:rsid w:val="108653C8"/>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2017B"/>
    <w:rsid w:val="29EF086F"/>
    <w:rsid w:val="2BC34C59"/>
    <w:rsid w:val="2EFFE297"/>
    <w:rsid w:val="301437CA"/>
    <w:rsid w:val="303D0CBB"/>
    <w:rsid w:val="31253B9B"/>
    <w:rsid w:val="349D1F0A"/>
    <w:rsid w:val="34DD0473"/>
    <w:rsid w:val="37DA158A"/>
    <w:rsid w:val="3A8E35DC"/>
    <w:rsid w:val="3B223EA3"/>
    <w:rsid w:val="3C684897"/>
    <w:rsid w:val="433E495C"/>
    <w:rsid w:val="46EE5581"/>
    <w:rsid w:val="47F91557"/>
    <w:rsid w:val="489F2FD7"/>
    <w:rsid w:val="4AC27CB3"/>
    <w:rsid w:val="4BF72BEF"/>
    <w:rsid w:val="4FA90297"/>
    <w:rsid w:val="4FC41A43"/>
    <w:rsid w:val="51DB3C59"/>
    <w:rsid w:val="525367A4"/>
    <w:rsid w:val="550C0952"/>
    <w:rsid w:val="55762E42"/>
    <w:rsid w:val="57A7B272"/>
    <w:rsid w:val="58470068"/>
    <w:rsid w:val="58747CAC"/>
    <w:rsid w:val="5A1720F9"/>
    <w:rsid w:val="5B3C050E"/>
    <w:rsid w:val="5B9C37C2"/>
    <w:rsid w:val="5BA7C654"/>
    <w:rsid w:val="5C6C4586"/>
    <w:rsid w:val="5DF716AE"/>
    <w:rsid w:val="5F9F507E"/>
    <w:rsid w:val="60A54109"/>
    <w:rsid w:val="61071CE8"/>
    <w:rsid w:val="61D01CDF"/>
    <w:rsid w:val="64C0607C"/>
    <w:rsid w:val="65756C86"/>
    <w:rsid w:val="674D385B"/>
    <w:rsid w:val="676F09E1"/>
    <w:rsid w:val="71691990"/>
    <w:rsid w:val="71793A80"/>
    <w:rsid w:val="7357290B"/>
    <w:rsid w:val="756E3DEA"/>
    <w:rsid w:val="76FB1693"/>
    <w:rsid w:val="792835E4"/>
    <w:rsid w:val="798524E4"/>
    <w:rsid w:val="7A5256E3"/>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1897.36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1801.91</c:v>
                </c:pt>
                <c:pt idx="1">
                  <c:v>209.34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268</Words>
  <Characters>286</Characters>
  <Lines>44</Lines>
  <Paragraphs>12</Paragraphs>
  <TotalTime>13</TotalTime>
  <ScaleCrop>false</ScaleCrop>
  <LinksUpToDate>false</LinksUpToDate>
  <CharactersWithSpaces>298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123</cp:lastModifiedBy>
  <cp:lastPrinted>2020-08-09T03:39:00Z</cp:lastPrinted>
  <dcterms:modified xsi:type="dcterms:W3CDTF">2025-09-25T06:42:30Z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